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42" w:rsidRPr="00985842" w:rsidRDefault="00985842" w:rsidP="00985842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85842">
        <w:rPr>
          <w:rFonts w:ascii="黑体" w:eastAsia="黑体" w:hAnsi="黑体" w:hint="eastAsia"/>
          <w:sz w:val="32"/>
          <w:szCs w:val="32"/>
        </w:rPr>
        <w:t>附件2</w:t>
      </w:r>
    </w:p>
    <w:p w:rsidR="00985842" w:rsidRPr="00985842" w:rsidRDefault="00985842" w:rsidP="00985842">
      <w:pPr>
        <w:spacing w:line="5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85842">
        <w:rPr>
          <w:rFonts w:asciiTheme="majorEastAsia" w:eastAsiaTheme="majorEastAsia" w:hAnsiTheme="majorEastAsia" w:hint="eastAsia"/>
          <w:b/>
          <w:sz w:val="36"/>
          <w:szCs w:val="36"/>
        </w:rPr>
        <w:t>1.6吨四轮平衡重式电瓶叉车（带铲斗）技术参数，数量4台。</w:t>
      </w:r>
    </w:p>
    <w:tbl>
      <w:tblPr>
        <w:tblW w:w="9977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410"/>
        <w:gridCol w:w="5811"/>
        <w:gridCol w:w="900"/>
      </w:tblGrid>
      <w:tr w:rsidR="00985842" w:rsidTr="00E24456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要求类别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要求参数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车型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平衡重叉车（防爆型）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3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 w:right="96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21"/>
                <w:kern w:val="0"/>
                <w:sz w:val="30"/>
                <w:szCs w:val="30"/>
              </w:rPr>
              <w:t>额定起重量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3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1600kg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3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 w:right="96"/>
              <w:jc w:val="left"/>
              <w:rPr>
                <w:rFonts w:ascii="仿宋" w:eastAsia="仿宋" w:hAnsi="仿宋" w:cs="华文宋体"/>
                <w:spacing w:val="-2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26"/>
                <w:kern w:val="0"/>
                <w:sz w:val="30"/>
                <w:szCs w:val="30"/>
              </w:rPr>
              <w:t>载荷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中心距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3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500mm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3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驾驶方式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坐驾式</w:t>
            </w:r>
            <w:proofErr w:type="gramEnd"/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动力类型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铁锂磷酸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锂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电瓶（随车配充电机）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电池容量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≥80V/280Ah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电池性能要求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right="95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10"/>
                <w:kern w:val="0"/>
                <w:sz w:val="30"/>
                <w:szCs w:val="30"/>
              </w:rPr>
              <w:t>锂电池组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华文宋体" w:hint="eastAsia"/>
                <w:spacing w:val="-13"/>
                <w:kern w:val="0"/>
                <w:sz w:val="30"/>
                <w:szCs w:val="30"/>
              </w:rPr>
              <w:t>年或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10000</w:t>
            </w:r>
            <w:r>
              <w:rPr>
                <w:rFonts w:ascii="仿宋" w:eastAsia="仿宋" w:hAnsi="仿宋" w:cs="华文宋体" w:hint="eastAsia"/>
                <w:spacing w:val="-24"/>
                <w:kern w:val="0"/>
                <w:sz w:val="30"/>
                <w:szCs w:val="30"/>
              </w:rPr>
              <w:t xml:space="preserve"> 小时及</w:t>
            </w:r>
            <w:proofErr w:type="gramStart"/>
            <w:r>
              <w:rPr>
                <w:rFonts w:ascii="仿宋" w:eastAsia="仿宋" w:hAnsi="仿宋" w:cs="华文宋体" w:hint="eastAsia"/>
                <w:spacing w:val="-24"/>
                <w:kern w:val="0"/>
                <w:sz w:val="30"/>
                <w:szCs w:val="30"/>
              </w:rPr>
              <w:t>以</w:t>
            </w:r>
            <w:r>
              <w:rPr>
                <w:rFonts w:ascii="仿宋" w:eastAsia="仿宋" w:hAnsi="仿宋" w:cs="华文宋体" w:hint="eastAsia"/>
                <w:spacing w:val="4"/>
                <w:kern w:val="0"/>
                <w:sz w:val="30"/>
                <w:szCs w:val="30"/>
              </w:rPr>
              <w:t>上质</w:t>
            </w:r>
            <w:proofErr w:type="gramEnd"/>
            <w:r>
              <w:rPr>
                <w:rFonts w:ascii="仿宋" w:eastAsia="仿宋" w:hAnsi="仿宋" w:cs="华文宋体" w:hint="eastAsia"/>
                <w:spacing w:val="4"/>
                <w:kern w:val="0"/>
                <w:sz w:val="30"/>
                <w:szCs w:val="30"/>
              </w:rPr>
              <w:t>保期;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10～100%充电时</w:t>
            </w:r>
            <w:r>
              <w:rPr>
                <w:rFonts w:ascii="仿宋" w:eastAsia="仿宋" w:hAnsi="仿宋" w:cs="华文宋体" w:hint="eastAsia"/>
                <w:spacing w:val="-15"/>
                <w:kern w:val="0"/>
                <w:sz w:val="30"/>
                <w:szCs w:val="30"/>
              </w:rPr>
              <w:t>间低于 2</w:t>
            </w:r>
            <w:r>
              <w:rPr>
                <w:rFonts w:ascii="仿宋" w:eastAsia="仿宋" w:hAnsi="仿宋" w:cs="华文宋体" w:hint="eastAsia"/>
                <w:spacing w:val="-8"/>
                <w:kern w:val="0"/>
                <w:sz w:val="30"/>
                <w:szCs w:val="30"/>
              </w:rPr>
              <w:t>小时；使用时间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≥8 </w:t>
            </w:r>
            <w:r>
              <w:rPr>
                <w:rFonts w:ascii="仿宋" w:eastAsia="仿宋" w:hAnsi="仿宋" w:cs="华文宋体" w:hint="eastAsia"/>
                <w:spacing w:val="-10"/>
                <w:kern w:val="0"/>
                <w:sz w:val="30"/>
                <w:szCs w:val="30"/>
              </w:rPr>
              <w:t>小时，电池循环充放电次数≥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4000 次</w:t>
            </w:r>
            <w:r w:rsidR="00C97269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，配</w:t>
            </w:r>
            <w:r w:rsidR="00C97269" w:rsidRPr="00355D4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过充保护装置</w:t>
            </w:r>
            <w:r w:rsidR="00C9726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前后轮胎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无痕环保实心轮胎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电控系统类型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AC 交流系统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整车电机类型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AC 交流电机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spacing w:val="-2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控制器品牌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进口品牌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整车高度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≤2000mm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整车长度（含铲斗）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≤3000mm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门架要求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二级标准门架，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货叉中心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尺寸可调，自由提升行程需≥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0mm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，门架倾角可调。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门架最大起升高度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3000mm 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最小转弯半径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≤1860mm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最大爬坡能力（满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载/空载）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≥20/20%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起升电机功率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≥16KW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驱动电机功率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≥8.5KW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其它功能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right="21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座椅操作保护功能（操作人员离开座椅时，开启保护功能，防止事故发生）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right="95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9"/>
                <w:kern w:val="0"/>
                <w:sz w:val="30"/>
                <w:szCs w:val="30"/>
              </w:rPr>
              <w:t>液晶显示多功能仪表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华文宋体" w:hint="eastAsia"/>
                <w:spacing w:val="-6"/>
                <w:kern w:val="0"/>
                <w:sz w:val="30"/>
                <w:szCs w:val="30"/>
              </w:rPr>
              <w:t>电池电</w:t>
            </w:r>
            <w:r>
              <w:rPr>
                <w:rFonts w:ascii="仿宋" w:eastAsia="仿宋" w:hAnsi="仿宋" w:cs="华文宋体" w:hint="eastAsia"/>
                <w:spacing w:val="-10"/>
                <w:kern w:val="0"/>
                <w:sz w:val="30"/>
                <w:szCs w:val="30"/>
              </w:rPr>
              <w:t>量显示、故障代码显示行驶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速度显示、工作时长显示）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弯道自动减速功能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驻坡保护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功能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低电量保护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配置2kg灭火器及支架</w:t>
            </w:r>
          </w:p>
        </w:tc>
        <w:tc>
          <w:tcPr>
            <w:tcW w:w="900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带资料板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夹，设置检验标志牌</w:t>
            </w:r>
          </w:p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卡夹、牌照固定安装位置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铲斗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容量：0.35m³，载重：≥350kg,304不锈钢（食品级），铲斗快速拆卸，加油管堵头。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叉车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防爆等级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Ex d e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ib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mb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IIBT4 Gb/Ex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tD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ibD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mbD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A21IP6XT135℃，适用于1区、2区、21区、22区防爆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叉车防爆技术标准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GB19854-20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18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 爆炸性气体环境用工业车辆防爆技术通则；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GB3836.1-2013  爆炸性气体环境用电气设备  第1部分：通用要求；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GB3836.2-2013  爆炸性气体环境用电气设备  第2部分：隔爆型“d”；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GB3836.4-2013  爆炸性气体环境用电气设备  第4部分：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本安型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“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i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”；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B12476.1-2013  可燃性粉尘环境用电气设备　第1部分：通用要求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GB12476.4-2010可燃性粉尘环境用电气设备　第4部分: 本质安全型“</w:t>
            </w:r>
            <w:proofErr w:type="spell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iD</w:t>
            </w:r>
            <w:proofErr w:type="spell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”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B12476.5-2013可燃性粉尘环境用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lastRenderedPageBreak/>
              <w:t>电气设备　第5部分：外壳保护型“</w:t>
            </w:r>
            <w:proofErr w:type="spell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tD</w:t>
            </w:r>
            <w:proofErr w:type="spell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”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B12476.6-2010可燃性粉尘环境用电气设备　第6部分：</w:t>
            </w:r>
            <w:proofErr w:type="gram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浇封保护型</w:t>
            </w:r>
            <w:proofErr w:type="gram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“</w:t>
            </w:r>
            <w:proofErr w:type="spell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mD</w:t>
            </w:r>
            <w:proofErr w:type="spell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”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叉车防爆技术要求</w:t>
            </w:r>
          </w:p>
        </w:tc>
        <w:tc>
          <w:tcPr>
            <w:tcW w:w="5811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1.采用隔爆型电控，达到GB3836-2013的相关要求。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2.采用防爆锂电池作为动力源，达到GB3836-2013、GB19854-20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18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的相关要求。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3.采用隔爆型交流电机，达到GB3836-2013、的相关要求。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4.所有仪表进行隔爆处理 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5.采用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本安型防爆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加速器。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6.采用防爆L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ED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大灯、防爆L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ED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转向灯和刹车灯。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配置防爆蓝光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灯或者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红光灯，配置防爆声光报警灯。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8.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采用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防爆电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喇叭。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9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．具有防爆座椅开关，防止驾驶员离开座位后车辆误操作。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．驾驶室内安装防爆风扇。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11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．必须安装工业车辆用防爆安全管理系统，具备限速、超载报警、防撞等功能。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．整车线束、开关等必须满足防爆要求。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13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.充电接头改防爆型充电接头。</w:t>
            </w:r>
          </w:p>
          <w:p w:rsidR="00985842" w:rsidRPr="006D6FE7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</w:t>
            </w:r>
            <w:r w:rsidRPr="006D6FE7">
              <w:rPr>
                <w:rFonts w:ascii="仿宋" w:eastAsia="仿宋" w:hAnsi="仿宋" w:cs="华文宋体"/>
                <w:kern w:val="0"/>
                <w:sz w:val="30"/>
                <w:szCs w:val="30"/>
              </w:rPr>
              <w:t>4.</w:t>
            </w:r>
            <w:r w:rsidRPr="006D6FE7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铲斗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材质为</w:t>
            </w:r>
            <w:r w:rsidRPr="006D6FE7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不锈钢，加装不锈钢防撞条、加装静电带 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 w:rsidRPr="006D6FE7">
              <w:rPr>
                <w:rFonts w:ascii="仿宋" w:eastAsia="仿宋" w:hAnsi="仿宋" w:cs="华文宋体"/>
                <w:kern w:val="0"/>
                <w:sz w:val="30"/>
                <w:szCs w:val="30"/>
              </w:rPr>
              <w:t>15.</w:t>
            </w:r>
            <w:r w:rsidRPr="006D6FE7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安装导静电轮胎。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其他产品要求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1．必须具备特种设备生产许可证、与所需防爆叉车匹配的防爆合格证、型式试验合格证、与所需车辆匹配的型式试验报告等资质文件；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2．具备《产品责任保险》</w:t>
            </w:r>
          </w:p>
          <w:p w:rsidR="00985842" w:rsidRDefault="00985842" w:rsidP="00985842">
            <w:pPr>
              <w:widowControl/>
              <w:spacing w:before="1" w:line="400" w:lineRule="exact"/>
              <w:ind w:left="108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3.叉车防爆合格证一车一证。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</w:tbl>
    <w:p w:rsidR="00985842" w:rsidRPr="00985842" w:rsidRDefault="00985842" w:rsidP="00985842">
      <w:pPr>
        <w:pStyle w:val="a6"/>
        <w:shd w:val="clear" w:color="auto" w:fill="FFFFFF"/>
        <w:spacing w:before="0" w:beforeAutospacing="0" w:after="0" w:afterAutospacing="0" w:line="560" w:lineRule="exact"/>
        <w:ind w:right="1595"/>
        <w:jc w:val="both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sectPr w:rsidR="00985842" w:rsidRPr="00985842" w:rsidSect="00B5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A4" w:rsidRDefault="005B55A4" w:rsidP="00414ECE">
      <w:r>
        <w:separator/>
      </w:r>
    </w:p>
  </w:endnote>
  <w:endnote w:type="continuationSeparator" w:id="0">
    <w:p w:rsidR="005B55A4" w:rsidRDefault="005B55A4" w:rsidP="0041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A4" w:rsidRDefault="005B55A4" w:rsidP="00414ECE">
      <w:r>
        <w:separator/>
      </w:r>
    </w:p>
  </w:footnote>
  <w:footnote w:type="continuationSeparator" w:id="0">
    <w:p w:rsidR="005B55A4" w:rsidRDefault="005B55A4" w:rsidP="0041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69A"/>
    <w:multiLevelType w:val="singleLevel"/>
    <w:tmpl w:val="59FD16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婷婷">
    <w15:presenceInfo w15:providerId="None" w15:userId="陈婷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7643ED"/>
    <w:rsid w:val="00001B10"/>
    <w:rsid w:val="00010984"/>
    <w:rsid w:val="000219A5"/>
    <w:rsid w:val="000357A3"/>
    <w:rsid w:val="00053682"/>
    <w:rsid w:val="0006635F"/>
    <w:rsid w:val="00073FA1"/>
    <w:rsid w:val="00075FB8"/>
    <w:rsid w:val="00077A27"/>
    <w:rsid w:val="000867BC"/>
    <w:rsid w:val="000A4D2E"/>
    <w:rsid w:val="000C1605"/>
    <w:rsid w:val="000D0C4C"/>
    <w:rsid w:val="000F417B"/>
    <w:rsid w:val="000F6337"/>
    <w:rsid w:val="00101E8C"/>
    <w:rsid w:val="001146E4"/>
    <w:rsid w:val="001163A1"/>
    <w:rsid w:val="001255AC"/>
    <w:rsid w:val="00131DF4"/>
    <w:rsid w:val="00134B0A"/>
    <w:rsid w:val="00135510"/>
    <w:rsid w:val="001435DD"/>
    <w:rsid w:val="00143F66"/>
    <w:rsid w:val="00145C39"/>
    <w:rsid w:val="00163AB3"/>
    <w:rsid w:val="001673D2"/>
    <w:rsid w:val="00180D6E"/>
    <w:rsid w:val="001918EF"/>
    <w:rsid w:val="00195150"/>
    <w:rsid w:val="001A7321"/>
    <w:rsid w:val="001A7ACE"/>
    <w:rsid w:val="001B43B2"/>
    <w:rsid w:val="001C2AB5"/>
    <w:rsid w:val="001C320C"/>
    <w:rsid w:val="001D60B0"/>
    <w:rsid w:val="001E3736"/>
    <w:rsid w:val="00214261"/>
    <w:rsid w:val="00214A79"/>
    <w:rsid w:val="00223C9A"/>
    <w:rsid w:val="00233713"/>
    <w:rsid w:val="00234725"/>
    <w:rsid w:val="00253039"/>
    <w:rsid w:val="002558B1"/>
    <w:rsid w:val="0026241D"/>
    <w:rsid w:val="00275273"/>
    <w:rsid w:val="002B203F"/>
    <w:rsid w:val="002C2DEB"/>
    <w:rsid w:val="002D4169"/>
    <w:rsid w:val="002E5F9C"/>
    <w:rsid w:val="002F06AE"/>
    <w:rsid w:val="002F60B1"/>
    <w:rsid w:val="002F76FE"/>
    <w:rsid w:val="00316DD8"/>
    <w:rsid w:val="003453BF"/>
    <w:rsid w:val="003454AD"/>
    <w:rsid w:val="0036559E"/>
    <w:rsid w:val="0037332F"/>
    <w:rsid w:val="00376E98"/>
    <w:rsid w:val="00380F7F"/>
    <w:rsid w:val="003868C0"/>
    <w:rsid w:val="00392FB2"/>
    <w:rsid w:val="003A302B"/>
    <w:rsid w:val="003A6070"/>
    <w:rsid w:val="003B2784"/>
    <w:rsid w:val="003B40D9"/>
    <w:rsid w:val="003C5527"/>
    <w:rsid w:val="003D47FE"/>
    <w:rsid w:val="003E07C4"/>
    <w:rsid w:val="003E38F0"/>
    <w:rsid w:val="003E77BD"/>
    <w:rsid w:val="003F0CEF"/>
    <w:rsid w:val="00401B49"/>
    <w:rsid w:val="00414ECE"/>
    <w:rsid w:val="00422718"/>
    <w:rsid w:val="004237DE"/>
    <w:rsid w:val="00427CCE"/>
    <w:rsid w:val="00437AC8"/>
    <w:rsid w:val="00446324"/>
    <w:rsid w:val="004505B5"/>
    <w:rsid w:val="00455F35"/>
    <w:rsid w:val="004737F0"/>
    <w:rsid w:val="00473D5B"/>
    <w:rsid w:val="0048460A"/>
    <w:rsid w:val="00484A23"/>
    <w:rsid w:val="00492390"/>
    <w:rsid w:val="00497D61"/>
    <w:rsid w:val="004A3EB3"/>
    <w:rsid w:val="004B162C"/>
    <w:rsid w:val="004C62C0"/>
    <w:rsid w:val="004D79F4"/>
    <w:rsid w:val="004E2439"/>
    <w:rsid w:val="004F61DF"/>
    <w:rsid w:val="00501A75"/>
    <w:rsid w:val="00501E6A"/>
    <w:rsid w:val="00502900"/>
    <w:rsid w:val="005256D6"/>
    <w:rsid w:val="005356A0"/>
    <w:rsid w:val="00560F45"/>
    <w:rsid w:val="00561F1E"/>
    <w:rsid w:val="00564157"/>
    <w:rsid w:val="0056436B"/>
    <w:rsid w:val="00567ED3"/>
    <w:rsid w:val="0058495B"/>
    <w:rsid w:val="0058733A"/>
    <w:rsid w:val="00587A95"/>
    <w:rsid w:val="005938F5"/>
    <w:rsid w:val="005A51E5"/>
    <w:rsid w:val="005A77A7"/>
    <w:rsid w:val="005B536F"/>
    <w:rsid w:val="005B55A4"/>
    <w:rsid w:val="005D7EF3"/>
    <w:rsid w:val="005F46EA"/>
    <w:rsid w:val="005F712F"/>
    <w:rsid w:val="00604F92"/>
    <w:rsid w:val="00617AFD"/>
    <w:rsid w:val="00642978"/>
    <w:rsid w:val="00642BED"/>
    <w:rsid w:val="00645E7B"/>
    <w:rsid w:val="006467D7"/>
    <w:rsid w:val="006479B1"/>
    <w:rsid w:val="006540F2"/>
    <w:rsid w:val="006705CB"/>
    <w:rsid w:val="00674FA4"/>
    <w:rsid w:val="00691823"/>
    <w:rsid w:val="00697563"/>
    <w:rsid w:val="006C1563"/>
    <w:rsid w:val="006C165B"/>
    <w:rsid w:val="006C3C47"/>
    <w:rsid w:val="006D0B01"/>
    <w:rsid w:val="006E31CB"/>
    <w:rsid w:val="006F7D11"/>
    <w:rsid w:val="007058FE"/>
    <w:rsid w:val="00730366"/>
    <w:rsid w:val="00744657"/>
    <w:rsid w:val="007509AA"/>
    <w:rsid w:val="007519C0"/>
    <w:rsid w:val="007643ED"/>
    <w:rsid w:val="00767CA2"/>
    <w:rsid w:val="00773B16"/>
    <w:rsid w:val="00785E2A"/>
    <w:rsid w:val="007867E9"/>
    <w:rsid w:val="007916B9"/>
    <w:rsid w:val="007A69DA"/>
    <w:rsid w:val="007B4726"/>
    <w:rsid w:val="007D048F"/>
    <w:rsid w:val="007D13D4"/>
    <w:rsid w:val="007D398C"/>
    <w:rsid w:val="007F282C"/>
    <w:rsid w:val="007F7B17"/>
    <w:rsid w:val="008028AB"/>
    <w:rsid w:val="0083112D"/>
    <w:rsid w:val="0083734D"/>
    <w:rsid w:val="00865A9C"/>
    <w:rsid w:val="00875838"/>
    <w:rsid w:val="008846D8"/>
    <w:rsid w:val="00887250"/>
    <w:rsid w:val="008A2D4D"/>
    <w:rsid w:val="008A3022"/>
    <w:rsid w:val="008A65CF"/>
    <w:rsid w:val="008B2A02"/>
    <w:rsid w:val="008B33C9"/>
    <w:rsid w:val="008D4500"/>
    <w:rsid w:val="008E0BFD"/>
    <w:rsid w:val="008F4703"/>
    <w:rsid w:val="009036C6"/>
    <w:rsid w:val="00911EA3"/>
    <w:rsid w:val="00911F11"/>
    <w:rsid w:val="009205C4"/>
    <w:rsid w:val="00926695"/>
    <w:rsid w:val="00926DDA"/>
    <w:rsid w:val="009424F5"/>
    <w:rsid w:val="00946F2A"/>
    <w:rsid w:val="00947CFB"/>
    <w:rsid w:val="009618E9"/>
    <w:rsid w:val="00973ABA"/>
    <w:rsid w:val="0098336A"/>
    <w:rsid w:val="00985842"/>
    <w:rsid w:val="00990FEE"/>
    <w:rsid w:val="009953ED"/>
    <w:rsid w:val="009A241A"/>
    <w:rsid w:val="009B1761"/>
    <w:rsid w:val="009C71D3"/>
    <w:rsid w:val="009C765A"/>
    <w:rsid w:val="009D20EF"/>
    <w:rsid w:val="009E2C32"/>
    <w:rsid w:val="009E6547"/>
    <w:rsid w:val="009F0BFF"/>
    <w:rsid w:val="009F4073"/>
    <w:rsid w:val="00A00D2C"/>
    <w:rsid w:val="00A01EC6"/>
    <w:rsid w:val="00A20861"/>
    <w:rsid w:val="00A43257"/>
    <w:rsid w:val="00A445BD"/>
    <w:rsid w:val="00A475DF"/>
    <w:rsid w:val="00A53619"/>
    <w:rsid w:val="00A60823"/>
    <w:rsid w:val="00A71F7D"/>
    <w:rsid w:val="00AA36EF"/>
    <w:rsid w:val="00AB2147"/>
    <w:rsid w:val="00AB267E"/>
    <w:rsid w:val="00AC10AB"/>
    <w:rsid w:val="00AC3114"/>
    <w:rsid w:val="00AC549A"/>
    <w:rsid w:val="00AE3A5A"/>
    <w:rsid w:val="00B14E62"/>
    <w:rsid w:val="00B509FC"/>
    <w:rsid w:val="00B5135A"/>
    <w:rsid w:val="00B522B0"/>
    <w:rsid w:val="00B57650"/>
    <w:rsid w:val="00B6505A"/>
    <w:rsid w:val="00B6632A"/>
    <w:rsid w:val="00B81A9F"/>
    <w:rsid w:val="00B81BAF"/>
    <w:rsid w:val="00B9674A"/>
    <w:rsid w:val="00BA0A31"/>
    <w:rsid w:val="00BA0D04"/>
    <w:rsid w:val="00BB28B1"/>
    <w:rsid w:val="00BB2C97"/>
    <w:rsid w:val="00BB6CC6"/>
    <w:rsid w:val="00BC7100"/>
    <w:rsid w:val="00BD0738"/>
    <w:rsid w:val="00BD2B7A"/>
    <w:rsid w:val="00BD394D"/>
    <w:rsid w:val="00BD5F61"/>
    <w:rsid w:val="00C03751"/>
    <w:rsid w:val="00C04B56"/>
    <w:rsid w:val="00C0710B"/>
    <w:rsid w:val="00C2174F"/>
    <w:rsid w:val="00C33DD9"/>
    <w:rsid w:val="00C51B0A"/>
    <w:rsid w:val="00C71CB0"/>
    <w:rsid w:val="00C85325"/>
    <w:rsid w:val="00C86F05"/>
    <w:rsid w:val="00C97269"/>
    <w:rsid w:val="00CA392B"/>
    <w:rsid w:val="00CB18A2"/>
    <w:rsid w:val="00CC09E2"/>
    <w:rsid w:val="00CD7303"/>
    <w:rsid w:val="00CE4810"/>
    <w:rsid w:val="00D11899"/>
    <w:rsid w:val="00D32DF9"/>
    <w:rsid w:val="00D572AF"/>
    <w:rsid w:val="00D60491"/>
    <w:rsid w:val="00D7569F"/>
    <w:rsid w:val="00D800AA"/>
    <w:rsid w:val="00D80348"/>
    <w:rsid w:val="00D913B9"/>
    <w:rsid w:val="00D91D10"/>
    <w:rsid w:val="00D94E12"/>
    <w:rsid w:val="00DC29B7"/>
    <w:rsid w:val="00DC4859"/>
    <w:rsid w:val="00DD1130"/>
    <w:rsid w:val="00DD1AD6"/>
    <w:rsid w:val="00DE5223"/>
    <w:rsid w:val="00DE794C"/>
    <w:rsid w:val="00DF0B9D"/>
    <w:rsid w:val="00DF7E57"/>
    <w:rsid w:val="00E16C79"/>
    <w:rsid w:val="00E210F3"/>
    <w:rsid w:val="00E24530"/>
    <w:rsid w:val="00E3763E"/>
    <w:rsid w:val="00E53018"/>
    <w:rsid w:val="00E5485B"/>
    <w:rsid w:val="00E60B6B"/>
    <w:rsid w:val="00E73B38"/>
    <w:rsid w:val="00E81B9C"/>
    <w:rsid w:val="00E9219F"/>
    <w:rsid w:val="00EA2E27"/>
    <w:rsid w:val="00EA5719"/>
    <w:rsid w:val="00EB4032"/>
    <w:rsid w:val="00EB7812"/>
    <w:rsid w:val="00ED7A36"/>
    <w:rsid w:val="00EF38BB"/>
    <w:rsid w:val="00EF5EA0"/>
    <w:rsid w:val="00EF66BE"/>
    <w:rsid w:val="00F0139A"/>
    <w:rsid w:val="00F06352"/>
    <w:rsid w:val="00F247B4"/>
    <w:rsid w:val="00F30291"/>
    <w:rsid w:val="00F41859"/>
    <w:rsid w:val="00F841E9"/>
    <w:rsid w:val="00FC4856"/>
    <w:rsid w:val="00FD42A7"/>
    <w:rsid w:val="00FD6CC9"/>
    <w:rsid w:val="1C0A3ACC"/>
    <w:rsid w:val="63FF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2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522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522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522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B52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B522B0"/>
    <w:rPr>
      <w:b/>
      <w:bCs/>
    </w:rPr>
  </w:style>
  <w:style w:type="character" w:styleId="a8">
    <w:name w:val="Hyperlink"/>
    <w:basedOn w:val="a0"/>
    <w:uiPriority w:val="99"/>
    <w:unhideWhenUsed/>
    <w:qFormat/>
    <w:rsid w:val="00B522B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B522B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522B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522B0"/>
    <w:rPr>
      <w:rFonts w:ascii="Calibri" w:hAnsi="Calibri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B522B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22B0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B522B0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8584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85842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BA293-32E4-42C9-93F2-3B772E1C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China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何鸿飞</dc:creator>
  <cp:lastModifiedBy>陈长沙</cp:lastModifiedBy>
  <cp:revision>4</cp:revision>
  <dcterms:created xsi:type="dcterms:W3CDTF">2022-05-24T02:56:00Z</dcterms:created>
  <dcterms:modified xsi:type="dcterms:W3CDTF">2022-05-24T03:17:00Z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